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1FDDB">
      <w:pPr>
        <w:pStyle w:val="2"/>
        <w:bidi w:val="0"/>
        <w:jc w:val="center"/>
        <w:rPr>
          <w:rFonts w:hint="default"/>
        </w:rPr>
      </w:pPr>
      <w:r>
        <w:rPr>
          <w:rFonts w:hint="default"/>
        </w:rPr>
        <w:t>开源大模型应用GPU软件工程实践课学习心得</w:t>
      </w:r>
    </w:p>
    <w:p w14:paraId="535AF6F3">
      <w:pPr>
        <w:jc w:val="center"/>
      </w:pPr>
      <w:r>
        <w:rPr>
          <w:rFonts w:hint="eastAsia" w:ascii="宋体" w:hAnsi="宋体" w:eastAsia="宋体" w:cs="宋体"/>
          <w:lang w:val="en-US" w:eastAsia="zh-CN"/>
        </w:rPr>
        <w:t>杨菁菁   202422010230</w:t>
      </w:r>
    </w:p>
    <w:p w14:paraId="6535CE2B">
      <w:pPr>
        <w:pStyle w:val="2"/>
        <w:bidi w:val="0"/>
        <w:rPr>
          <w:rFonts w:hint="default"/>
        </w:rPr>
      </w:pPr>
      <w:r>
        <w:rPr>
          <w:rFonts w:hint="eastAsia"/>
          <w:lang w:val="en-US" w:eastAsia="zh-CN"/>
        </w:rPr>
        <w:t>一、</w:t>
      </w:r>
      <w:r>
        <w:rPr>
          <w:rFonts w:hint="default"/>
        </w:rPr>
        <w:t>模型量化技术的深度实践与系统工程思维构建</w:t>
      </w:r>
    </w:p>
    <w:p w14:paraId="4168F687">
      <w:pPr>
        <w:bidi w:val="0"/>
        <w:ind w:firstLine="480" w:firstLineChars="200"/>
        <w:rPr>
          <w:rFonts w:hint="eastAsia"/>
          <w:lang w:eastAsia="zh-CN"/>
        </w:rPr>
      </w:pPr>
      <w:r>
        <w:rPr>
          <w:rFonts w:hint="default"/>
        </w:rPr>
        <w:t>在“开源大模型应用GPU软件工程实践”课程中，我以模型量化技术为研究主线，通过理论推演、代码解剖与性能调优三重迭代，完成了一次从算法原理到工业级部署的完整穿越。这段经历不仅让我掌握了核心优化技术，更重塑了对“GPU软件工程”本质的理解</w:t>
      </w:r>
      <w:r>
        <w:rPr>
          <w:rFonts w:hint="eastAsia"/>
          <w:lang w:eastAsia="zh-CN"/>
        </w:rPr>
        <w:t>——</w:t>
      </w:r>
      <w:r>
        <w:rPr>
          <w:rFonts w:hint="default"/>
        </w:rPr>
        <w:t>它是一场在计算精度、资源约束与时间成本三角张力下的精密平衡艺术。课程突破传统API调用层面的教学，引导我们深入量化技术的数学根基</w:t>
      </w:r>
      <w:r>
        <w:rPr>
          <w:rFonts w:hint="eastAsia"/>
          <w:lang w:eastAsia="zh-CN"/>
        </w:rPr>
        <w:t>，</w:t>
      </w:r>
      <w:r>
        <w:rPr>
          <w:rFonts w:hint="default"/>
        </w:rPr>
        <w:t>量化映射方程的实践选择缩放因子与零点并非简单均值校准，而是通过KL散度最小化确定最优区间切割，避免异常值对精度造成毁灭性影响</w:t>
      </w:r>
      <w:r>
        <w:rPr>
          <w:rFonts w:hint="eastAsia"/>
          <w:lang w:eastAsia="zh-CN"/>
        </w:rPr>
        <w:t>。</w:t>
      </w:r>
    </w:p>
    <w:p w14:paraId="12893F87">
      <w:pPr>
        <w:bidi w:val="0"/>
      </w:pPr>
      <w:r>
        <w:rPr>
          <w:rFonts w:hint="default"/>
        </w:rPr>
        <w:t>在NVIDIA Ampere架构GPU上，INT8矩阵乘通过DP4A指令实现4倍于FP32的吞吐量，而H100的FP8张量核心更将运算密度推升5倍。量化不仅是数据压缩，更是对硬件计算单元的特性驯化。</w:t>
      </w:r>
    </w:p>
    <w:p w14:paraId="1DCB5B9F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二、实战演进：从基础量化到生产级优化链</w:t>
      </w:r>
    </w:p>
    <w:p w14:paraId="66D6C14D">
      <w:pPr>
        <w:pStyle w:val="3"/>
        <w:bidi w:val="0"/>
        <w:spacing w:beforeAutospacing="0" w:afterAutospacing="0"/>
        <w:outlineLvl w:val="1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2.1阶段1：工具链初探</w:t>
      </w:r>
    </w:p>
    <w:p w14:paraId="0046D22C">
      <w:pPr>
        <w:bidi w:val="0"/>
        <w:ind w:firstLine="480" w:firstLineChars="200"/>
      </w:pPr>
      <w:r>
        <w:t>通过开源量化工具对LLaMA-7B模型进行动态8位转换，发现敏感层隔离原则的重要性：当输出层被量化时，生成文本连贯性显著下降，需针对性保留FP16精度。</w:t>
      </w:r>
    </w:p>
    <w:p w14:paraId="52D08480">
      <w:pPr>
        <w:pStyle w:val="3"/>
        <w:bidi w:val="0"/>
        <w:spacing w:beforeAutospacing="0" w:afterAutospacing="0"/>
        <w:outlineLvl w:val="1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2.2阶段2：编译优化整合</w:t>
      </w:r>
    </w:p>
    <w:p w14:paraId="3B236B37">
      <w:pPr>
        <w:bidi w:val="0"/>
        <w:ind w:firstLine="480" w:firstLineChars="200"/>
      </w:pPr>
      <w:r>
        <w:t>为解决动态反量化的性能损耗，转向静态量化方案：构建校准数据集统计激活值分布特征；利用编译器将反量化-矩阵乘-量化操作融合为单一计算核；性能跃升：端到端推理延迟降低40%，显存波动减少近半。</w:t>
      </w:r>
    </w:p>
    <w:p w14:paraId="1049AF13">
      <w:pPr>
        <w:pStyle w:val="2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认知突破：量化工程中的深层洞见</w:t>
      </w:r>
    </w:p>
    <w:p w14:paraId="00A2CE36">
      <w:pPr>
        <w:bidi w:val="0"/>
      </w:pPr>
      <w:r>
        <w:t>尽管困惑度指标仅上升0.8%，人工评估却揭示长文本生成逻辑一致性明显劣化，警示传统指标无法完全反映生成质量；显存带宽的隐形瓶颈：性能剖析显示，在百亿级模型推理中，反量化操作消耗超60%的显存带宽，成为比计算更严重的制约因素；</w:t>
      </w:r>
    </w:p>
    <w:p w14:paraId="660EEF22">
      <w:pPr>
        <w:bidi w:val="0"/>
      </w:pPr>
    </w:p>
    <w:p w14:paraId="14D1C951">
      <w:pPr>
        <w:bidi w:val="0"/>
      </w:pPr>
      <w:bookmarkStart w:id="0" w:name="_GoBack"/>
      <w:bookmarkEnd w:id="0"/>
    </w:p>
    <w:p w14:paraId="16434989">
      <w:pPr>
        <w:bidi w:val="0"/>
      </w:pPr>
      <w:r>
        <w:t>多维度权衡的艺术：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8304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6ED23ADA">
            <w:pPr>
              <w:bidi w:val="0"/>
            </w:pPr>
            <w:r>
              <w:rPr>
                <w:lang w:val="en-US" w:eastAsia="zh-CN"/>
              </w:rPr>
              <w:t>策略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ABCE706">
            <w:pPr>
              <w:bidi w:val="0"/>
              <w:rPr>
                <w:lang w:val="en-US" w:eastAsia="zh-CN"/>
              </w:rPr>
            </w:pPr>
            <w:r>
              <w:rPr>
                <w:lang w:val="en-US" w:eastAsia="zh-CN"/>
              </w:rPr>
              <w:t>精度保持</w:t>
            </w:r>
          </w:p>
        </w:tc>
        <w:tc>
          <w:tcPr>
            <w:tcW w:w="2131" w:type="dxa"/>
          </w:tcPr>
          <w:p w14:paraId="06B28C1F">
            <w:pPr>
              <w:bidi w:val="0"/>
            </w:pPr>
            <w:r>
              <w:rPr>
                <w:lang w:val="en-US" w:eastAsia="zh-CN"/>
              </w:rPr>
              <w:t>加速效果</w:t>
            </w:r>
          </w:p>
        </w:tc>
        <w:tc>
          <w:tcPr>
            <w:tcW w:w="2131" w:type="dxa"/>
          </w:tcPr>
          <w:p w14:paraId="71492E42">
            <w:pPr>
              <w:bidi w:val="0"/>
            </w:pPr>
            <w:r>
              <w:rPr>
                <w:lang w:val="en-US" w:eastAsia="zh-CN"/>
              </w:rPr>
              <w:t>加速效果</w:t>
            </w:r>
          </w:p>
        </w:tc>
      </w:tr>
      <w:tr w14:paraId="40A40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A392EC2">
            <w:pPr>
              <w:bidi w:val="0"/>
            </w:pPr>
            <w:r>
              <w:rPr>
                <w:lang w:val="en-US" w:eastAsia="zh-CN"/>
              </w:rPr>
              <w:t>基础量化</w:t>
            </w:r>
          </w:p>
        </w:tc>
        <w:tc>
          <w:tcPr>
            <w:tcW w:w="2130" w:type="dxa"/>
          </w:tcPr>
          <w:p w14:paraId="44F874EA">
            <w:pPr>
              <w:bidi w:val="0"/>
            </w:pPr>
            <w:r>
              <w:rPr>
                <w:lang w:val="en-US" w:eastAsia="zh-CN"/>
              </w:rPr>
              <w:t>中等</w:t>
            </w:r>
          </w:p>
        </w:tc>
        <w:tc>
          <w:tcPr>
            <w:tcW w:w="2131" w:type="dxa"/>
          </w:tcPr>
          <w:p w14:paraId="3B4E87CD">
            <w:pPr>
              <w:bidi w:val="0"/>
            </w:pPr>
            <w:r>
              <w:rPr>
                <w:lang w:val="en-US" w:eastAsia="zh-CN"/>
              </w:rPr>
              <w:t>1.8倍</w:t>
            </w:r>
          </w:p>
        </w:tc>
        <w:tc>
          <w:tcPr>
            <w:tcW w:w="2131" w:type="dxa"/>
          </w:tcPr>
          <w:p w14:paraId="37352C8A">
            <w:pPr>
              <w:bidi w:val="0"/>
            </w:pPr>
            <w:r>
              <w:rPr>
                <w:lang w:val="en-US" w:eastAsia="zh-CN"/>
              </w:rPr>
              <w:t>低</w:t>
            </w:r>
          </w:p>
        </w:tc>
      </w:tr>
      <w:tr w14:paraId="031F3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B5482AB">
            <w:pPr>
              <w:bidi w:val="0"/>
            </w:pPr>
            <w:r>
              <w:rPr>
                <w:lang w:val="en-US" w:eastAsia="zh-CN"/>
              </w:rPr>
              <w:t>混合精度</w:t>
            </w:r>
          </w:p>
        </w:tc>
        <w:tc>
          <w:tcPr>
            <w:tcW w:w="2130" w:type="dxa"/>
          </w:tcPr>
          <w:p w14:paraId="1335047B">
            <w:pPr>
              <w:bidi w:val="0"/>
            </w:pPr>
            <w:r>
              <w:rPr>
                <w:lang w:val="en-US" w:eastAsia="zh-CN"/>
              </w:rPr>
              <w:t>优秀</w:t>
            </w:r>
          </w:p>
        </w:tc>
        <w:tc>
          <w:tcPr>
            <w:tcW w:w="2131" w:type="dxa"/>
          </w:tcPr>
          <w:p w14:paraId="62F8DB5C">
            <w:pPr>
              <w:bidi w:val="0"/>
            </w:pPr>
            <w:r>
              <w:rPr>
                <w:lang w:val="en-US" w:eastAsia="zh-CN"/>
              </w:rPr>
              <w:t>3.1倍</w:t>
            </w:r>
          </w:p>
        </w:tc>
        <w:tc>
          <w:tcPr>
            <w:tcW w:w="2131" w:type="dxa"/>
          </w:tcPr>
          <w:p w14:paraId="05FFE825">
            <w:pPr>
              <w:bidi w:val="0"/>
            </w:pPr>
            <w:r>
              <w:rPr>
                <w:lang w:val="en-US" w:eastAsia="zh-CN"/>
              </w:rPr>
              <w:t>低</w:t>
            </w:r>
          </w:p>
        </w:tc>
      </w:tr>
    </w:tbl>
    <w:p w14:paraId="53E0C249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</w:t>
      </w:r>
      <w:r>
        <w:rPr>
          <w:rFonts w:hint="default"/>
          <w:lang w:val="en-US" w:eastAsia="zh-CN"/>
        </w:rPr>
        <w:t>工程方法论升华</w:t>
      </w:r>
    </w:p>
    <w:p w14:paraId="2F112887">
      <w:pPr>
        <w:bidi w:val="0"/>
        <w:ind w:firstLine="480" w:firstLineChars="200"/>
        <w:rPr>
          <w:rFonts w:hint="eastAsia" w:eastAsia="宋体"/>
          <w:lang w:eastAsia="zh-CN"/>
        </w:rPr>
      </w:pPr>
      <w:r>
        <w:t>可逆优化原则：建立“原始模型→量化训练→精度验证”的可回溯路径，确保问题可快速定位；硬件感知设计：针对Ampere架构优化INT8指令集利用</w:t>
      </w:r>
      <w:r>
        <w:rPr>
          <w:rFonts w:hint="eastAsia"/>
          <w:lang w:eastAsia="zh-CN"/>
        </w:rPr>
        <w:t>；</w:t>
      </w:r>
      <w:r>
        <w:t>适配Hopper架构的FP8原生支持与异步内存传输</w:t>
      </w:r>
      <w:r>
        <w:rPr>
          <w:rFonts w:hint="eastAsia"/>
          <w:lang w:eastAsia="zh-CN"/>
        </w:rPr>
        <w:t>。</w:t>
      </w:r>
      <w:r>
        <w:t>多维评估体系：质量维度：结合自动指标与人工逻辑评分</w:t>
      </w:r>
      <w:r>
        <w:rPr>
          <w:rFonts w:hint="eastAsia"/>
          <w:lang w:eastAsia="zh-CN"/>
        </w:rPr>
        <w:t>；</w:t>
      </w:r>
      <w:r>
        <w:t>效能维度：监控吞吐量、尾延迟与能耗比</w:t>
      </w:r>
      <w:r>
        <w:rPr>
          <w:rFonts w:hint="eastAsia"/>
          <w:lang w:eastAsia="zh-CN"/>
        </w:rPr>
        <w:t>；</w:t>
      </w:r>
      <w:r>
        <w:t>成本维度：分析显存占用峰值与推理单价</w:t>
      </w:r>
      <w:r>
        <w:rPr>
          <w:rFonts w:hint="eastAsia"/>
          <w:lang w:eastAsia="zh-CN"/>
        </w:rPr>
        <w:t>。</w:t>
      </w:r>
    </w:p>
    <w:p w14:paraId="041A4B94">
      <w:pPr>
        <w:pStyle w:val="2"/>
        <w:bidi w:val="0"/>
      </w:pPr>
      <w:r>
        <w:rPr>
          <w:rFonts w:hint="eastAsia"/>
          <w:lang w:val="en-US" w:eastAsia="zh-CN"/>
        </w:rPr>
        <w:t>五、</w:t>
      </w:r>
      <w:r>
        <w:rPr>
          <w:rFonts w:hint="default"/>
          <w:lang w:val="en-US" w:eastAsia="zh-CN"/>
        </w:rPr>
        <w:t>行业启示与未来展望</w:t>
      </w:r>
    </w:p>
    <w:p w14:paraId="383B325E">
      <w:pPr>
        <w:numPr>
          <w:numId w:val="0"/>
        </w:numPr>
        <w:bidi w:val="0"/>
        <w:ind w:firstLine="480" w:firstLineChars="200"/>
      </w:pPr>
      <w:r>
        <w:t>技术前沿：第三代量化算法通过误差补偿实现千亿模型单卡部署</w:t>
      </w:r>
      <w:r>
        <w:rPr>
          <w:rFonts w:hint="eastAsia"/>
          <w:lang w:eastAsia="zh-CN"/>
        </w:rPr>
        <w:t>，</w:t>
      </w:r>
      <w:r>
        <w:t>稀疏量化技术在70%权重剪枝下保持&lt;1%精度损失</w:t>
      </w:r>
      <w:r>
        <w:rPr>
          <w:rFonts w:hint="eastAsia"/>
          <w:lang w:eastAsia="zh-CN"/>
        </w:rPr>
        <w:t>。</w:t>
      </w:r>
      <w:r>
        <w:t>系统工程挑战：</w:t>
      </w:r>
      <w:r>
        <w:br w:type="textWrapping"/>
      </w:r>
      <w:r>
        <w:t>动态模型架构引发的量化参数漂移问题，催生在线校准模块的开发需求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“卓越的工程师不是工具的仆从，而是资源约束下的战略家。他们懂得何时用INT8劈开显存枷锁，何时需保留FP16守护创造的火花。”——这门课赋予我的不仅是技术，更是在混沌约束中寻找最优解的思维罗盘。</w:t>
      </w:r>
      <w:r>
        <w:t>此番实践让我彻悟：模型量化是贯穿算法设计、硬件特性、软件栈协同的系统工程。课程中烙印于心的“性能剖析优先，优化随后” 准则，将成为应对任何挑战的黄金信条。当我理解到工具背后数千行的底层优化逻辑时，终于领悟——真正的工程之美，藏在那99%不可见的细节深渊中。</w:t>
      </w:r>
    </w:p>
    <w:p w14:paraId="73B5C0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">
    <w:altName w:val="unifie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nified">
    <w:panose1 w:val="02000509000000000000"/>
    <w:charset w:val="00"/>
    <w:family w:val="auto"/>
    <w:pitch w:val="default"/>
    <w:sig w:usb0="00000001" w:usb1="1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29AE08"/>
    <w:multiLevelType w:val="singleLevel"/>
    <w:tmpl w:val="C229AE0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D2CDE"/>
    <w:rsid w:val="00BF3CC9"/>
    <w:rsid w:val="1DD21378"/>
    <w:rsid w:val="2D9E1E45"/>
    <w:rsid w:val="47EF47DD"/>
    <w:rsid w:val="4B130043"/>
    <w:rsid w:val="586E09FF"/>
    <w:rsid w:val="727E244D"/>
    <w:rsid w:val="72ED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left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jc w:val="left"/>
      <w:outlineLvl w:val="0"/>
    </w:pPr>
    <w:rPr>
      <w:rFonts w:hint="eastAsia" w:ascii="宋体" w:hAnsi="宋体" w:cs="宋体"/>
      <w:b/>
      <w:bCs/>
      <w:kern w:val="44"/>
      <w:sz w:val="32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rPr>
      <w:sz w:val="24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ndnote reference"/>
    <w:basedOn w:val="12"/>
    <w:uiPriority w:val="0"/>
    <w:rPr>
      <w:rFonts w:ascii="Times New Roman" w:hAnsi="Times New Roman" w:eastAsia="t"/>
      <w:sz w:val="24"/>
      <w:vertAlign w:val="superscript"/>
    </w:rPr>
  </w:style>
  <w:style w:type="character" w:styleId="15">
    <w:name w:val="HTML Code"/>
    <w:basedOn w:val="12"/>
    <w:uiPriority w:val="0"/>
    <w:rPr>
      <w:rFonts w:ascii="Courier New" w:hAnsi="Courier New"/>
      <w:sz w:val="20"/>
    </w:rPr>
  </w:style>
  <w:style w:type="paragraph" w:customStyle="1" w:styleId="16">
    <w:name w:val="样式1"/>
    <w:basedOn w:val="1"/>
    <w:qFormat/>
    <w:uiPriority w:val="0"/>
    <w:pPr>
      <w:tabs>
        <w:tab w:val="left" w:pos="679"/>
      </w:tabs>
      <w:ind w:firstLine="960" w:firstLineChars="300"/>
    </w:pPr>
    <w:rPr>
      <w:rFonts w:ascii="楷体_GB2312" w:hAnsi="楷体_GB2312" w:eastAsia="宋体" w:cs="Times New Roman"/>
      <w:b/>
      <w:sz w:val="32"/>
      <w:szCs w:val="32"/>
      <w:u w:val="single"/>
    </w:rPr>
  </w:style>
  <w:style w:type="paragraph" w:customStyle="1" w:styleId="17">
    <w:name w:val="公式1"/>
    <w:basedOn w:val="1"/>
    <w:qFormat/>
    <w:uiPriority w:val="0"/>
    <w:pPr>
      <w:tabs>
        <w:tab w:val="center" w:pos="1537"/>
        <w:tab w:val="right" w:pos="3074"/>
      </w:tabs>
    </w:pPr>
    <w:rPr>
      <w:rFonts w:eastAsia="宋体" w:asciiTheme="minorAscii" w:hAnsiTheme="minorAsci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2025-07-06T14:14:00Z</dcterms:created>
  <dc:creator>Jing．</dc:creator>
  <cp:lastModifiedBy>Jing．</cp:lastModifiedBy>
  <dcterms:modified xsi:type="dcterms:W3CDTF">2025-07-06T14:33:16Z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35FD3C78A50D4817A3C4FB7DBAFAC64E_11</vt:lpwstr>
  </property>
  <property fmtid="{D5CDD505-2E9C-101B-9397-08002B2CF9AE}" pid="4" name="KSOTemplateDocerSaveRecord">
    <vt:lpwstr>eyJoZGlkIjoiNzIxNGUwODNhYjk1ODJiNWVkY2U0ZjAyODliZmNmZTEiLCJ1c2VySWQiOiIxMDcyNjEwMzM0In0=</vt:lpwstr>
  </property>
</Properties>
</file>